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Ind w:w="4644" w:type="dxa"/>
        <w:tblLook w:val="04A0"/>
      </w:tblPr>
      <w:tblGrid>
        <w:gridCol w:w="4962"/>
      </w:tblGrid>
      <w:tr w:rsidR="004E6684" w:rsidRPr="00444AAE" w:rsidTr="00EF32CE">
        <w:tc>
          <w:tcPr>
            <w:tcW w:w="4962" w:type="dxa"/>
            <w:shd w:val="clear" w:color="auto" w:fill="auto"/>
          </w:tcPr>
          <w:p w:rsidR="004E6684" w:rsidRPr="00444AAE" w:rsidRDefault="004E6684" w:rsidP="00EF32CE">
            <w:pPr>
              <w:pStyle w:val="a4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Приложение № 3 к постановлению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444AAE"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Прибельский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  <w:r w:rsidRPr="00444AAE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Кармаскалинский </w:t>
            </w:r>
            <w:r w:rsidRPr="00444AAE">
              <w:rPr>
                <w:sz w:val="28"/>
                <w:szCs w:val="28"/>
              </w:rPr>
              <w:t xml:space="preserve">район Республики Башкортостан </w:t>
            </w:r>
          </w:p>
          <w:p w:rsidR="004E6684" w:rsidRPr="00444AAE" w:rsidRDefault="004E6684" w:rsidP="00EF32CE">
            <w:pPr>
              <w:pStyle w:val="a4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05.07.2017 г.</w:t>
            </w:r>
            <w:r w:rsidRPr="00444AA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80</w:t>
            </w:r>
          </w:p>
        </w:tc>
      </w:tr>
    </w:tbl>
    <w:p w:rsidR="004E6684" w:rsidRPr="00444AAE" w:rsidRDefault="004E6684" w:rsidP="004E6684">
      <w:pPr>
        <w:pStyle w:val="a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4E6684" w:rsidRPr="00444AAE" w:rsidRDefault="004E6684" w:rsidP="004E6684">
      <w:pPr>
        <w:pStyle w:val="a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4E6684" w:rsidRDefault="004E6684" w:rsidP="004E6684">
      <w:pPr>
        <w:pStyle w:val="a4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684" w:rsidRPr="00444AAE" w:rsidRDefault="004E6684" w:rsidP="004E6684">
      <w:pPr>
        <w:pStyle w:val="a4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444AAE"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4E6684" w:rsidRPr="00444AAE" w:rsidRDefault="004E6684" w:rsidP="004E6684">
      <w:pPr>
        <w:pStyle w:val="a4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4E6684" w:rsidRPr="00444AAE" w:rsidRDefault="004E6684" w:rsidP="004E66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proofErr w:type="gramEnd"/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-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Программа) наиболее посещаемой общественной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Башкортостан, подлежащей благоустройству.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1.2. Под общественными территориями понимаются участки, иные части территории </w:t>
      </w:r>
      <w:r>
        <w:rPr>
          <w:sz w:val="28"/>
          <w:szCs w:val="28"/>
        </w:rPr>
        <w:t>поселка</w:t>
      </w:r>
      <w:r w:rsidRPr="00444AAE">
        <w:rPr>
          <w:sz w:val="28"/>
          <w:szCs w:val="28"/>
        </w:rPr>
        <w:t>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444AAE">
        <w:rPr>
          <w:sz w:val="28"/>
          <w:szCs w:val="28"/>
        </w:rPr>
        <w:t>(далее - Организатор отбора).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Отбор осуществляется общественной комиссией, образуемой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(далее - Комиссия).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1.5. Целями отбора являются;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населения в процессы местного самоуправления;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развитие механизмов </w:t>
      </w:r>
      <w:proofErr w:type="gramStart"/>
      <w:r w:rsidRPr="00444AAE">
        <w:rPr>
          <w:sz w:val="28"/>
          <w:szCs w:val="28"/>
        </w:rPr>
        <w:t>инициативного</w:t>
      </w:r>
      <w:proofErr w:type="gramEnd"/>
      <w:r w:rsidRPr="00444AAE">
        <w:rPr>
          <w:sz w:val="28"/>
          <w:szCs w:val="28"/>
        </w:rPr>
        <w:t xml:space="preserve"> </w:t>
      </w:r>
      <w:proofErr w:type="spellStart"/>
      <w:r w:rsidRPr="00444AAE">
        <w:rPr>
          <w:sz w:val="28"/>
          <w:szCs w:val="28"/>
        </w:rPr>
        <w:t>бюджетирования</w:t>
      </w:r>
      <w:proofErr w:type="spellEnd"/>
      <w:r w:rsidRPr="00444AAE">
        <w:rPr>
          <w:sz w:val="28"/>
          <w:szCs w:val="28"/>
        </w:rPr>
        <w:t>;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благоустройство общественных территорий.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1.6. Участниками отбора общественных территорий являются граждане и организации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6684" w:rsidRPr="00444AAE" w:rsidRDefault="004E6684" w:rsidP="004E66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Условия рассмотрения и оценки предложений заявителей о включении</w:t>
      </w:r>
    </w:p>
    <w:p w:rsidR="004E6684" w:rsidRPr="00444AAE" w:rsidRDefault="004E6684" w:rsidP="004E66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 Программу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4E6684" w:rsidRPr="00444AAE" w:rsidRDefault="004E6684" w:rsidP="004E66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684" w:rsidRPr="00444AAE" w:rsidRDefault="004E6684" w:rsidP="004E66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Порядок подачи документов для участия в отборе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</w:t>
      </w:r>
      <w:r w:rsidRPr="00DF4B7D">
        <w:rPr>
          <w:sz w:val="28"/>
          <w:szCs w:val="28"/>
        </w:rPr>
        <w:t>опубликованию в печатных средствах массовой информации и размещению на официальном сайте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в информационно-телекоммуникационной с</w:t>
      </w:r>
      <w:r>
        <w:rPr>
          <w:sz w:val="28"/>
          <w:szCs w:val="28"/>
        </w:rPr>
        <w:t>ети Интернет (</w:t>
      </w:r>
      <w:hyperlink r:id="rId4" w:history="1">
        <w:r w:rsidRPr="00225BA9">
          <w:rPr>
            <w:rStyle w:val="a3"/>
            <w:sz w:val="28"/>
            <w:szCs w:val="28"/>
          </w:rPr>
          <w:t>http://www</w:t>
        </w:r>
      </w:hyperlink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pribelsksp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44AAE">
        <w:rPr>
          <w:sz w:val="28"/>
          <w:szCs w:val="28"/>
        </w:rPr>
        <w:t>).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3.4. Участник отбора формирует пакет документов и направляет его в адрес Комиссии в сроки, указанные в сообщении о проведении отбора.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3.5. Комиссия регистрирует заявки </w:t>
      </w:r>
      <w:proofErr w:type="gramStart"/>
      <w:r w:rsidRPr="00444AAE"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444AAE">
        <w:rPr>
          <w:sz w:val="28"/>
          <w:szCs w:val="28"/>
        </w:rPr>
        <w:t xml:space="preserve"> в отборе в порядке </w:t>
      </w:r>
      <w:r w:rsidRPr="00444AAE">
        <w:rPr>
          <w:sz w:val="28"/>
          <w:szCs w:val="28"/>
        </w:rPr>
        <w:lastRenderedPageBreak/>
        <w:t>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3.7. Участник не допускается Комиссией к участию в отборе в случае: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не представлены в полном объеме документы, предусмотренные документацией по отбору.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3.8. Оценка проектов осуществляется Комиссией в соответствии с балльной шкалой согласно приложению №3 к настоящему Порядку. По результатам отбора Комиссией формируется рейтинг заявок в порядке убывания присвоенных им суммарных баллов.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3.9. Комиссия отклоняет заявку в случаях, если: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3.10. Участник отбора имеет право отозвать свою заявку, сообщив </w:t>
      </w:r>
      <w:proofErr w:type="gramStart"/>
      <w:r w:rsidRPr="00444AAE">
        <w:rPr>
          <w:sz w:val="28"/>
          <w:szCs w:val="28"/>
        </w:rPr>
        <w:t>об</w:t>
      </w:r>
      <w:proofErr w:type="gramEnd"/>
    </w:p>
    <w:p w:rsidR="004E6684" w:rsidRPr="00444AAE" w:rsidRDefault="004E6684" w:rsidP="004E66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этом</w:t>
      </w:r>
      <w:proofErr w:type="gramEnd"/>
      <w:r w:rsidRPr="00444AAE">
        <w:rPr>
          <w:sz w:val="28"/>
          <w:szCs w:val="28"/>
        </w:rPr>
        <w:t xml:space="preserve"> письменно организатору отбора, и отказаться от участия в нем.</w:t>
      </w:r>
    </w:p>
    <w:p w:rsidR="004E6684" w:rsidRPr="00444AAE" w:rsidRDefault="004E6684" w:rsidP="004E66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684" w:rsidRPr="00444AAE" w:rsidRDefault="004E6684" w:rsidP="004E66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Организация проведения отбора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После истечения срока подачи заявок. </w:t>
      </w:r>
      <w:r w:rsidRPr="00DF4B7D">
        <w:rPr>
          <w:sz w:val="28"/>
          <w:szCs w:val="28"/>
        </w:rPr>
        <w:t>Комиссия в течение 15 рабочих дней рассматривает заявки на участие в отборе на соответствие</w:t>
      </w:r>
      <w:r w:rsidRPr="00444AAE">
        <w:rPr>
          <w:sz w:val="28"/>
          <w:szCs w:val="28"/>
        </w:rPr>
        <w:t xml:space="preserve">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sz w:val="28"/>
          <w:szCs w:val="28"/>
        </w:rPr>
        <w:t>участие</w:t>
      </w:r>
      <w:proofErr w:type="gramEnd"/>
      <w:r w:rsidRPr="00444AAE">
        <w:rPr>
          <w:sz w:val="28"/>
          <w:szCs w:val="28"/>
        </w:rPr>
        <w:t xml:space="preserve"> в отборе которого поступила ранее других.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Отбор признается несостоявшимся в случаях, если: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отклонены все заявки на участие в отборе;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подано ни одной заявки на участие в отборе.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4.8. Комиссия направляет протокол, в трехдневный срок со дня его принятия, который является основанием для проведения конкурсных процедур по выбору подрядной организации на выполнение работ по благоустройству общественной территории в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Прибельский</w:t>
      </w:r>
      <w:proofErr w:type="spellEnd"/>
      <w:r w:rsidRP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Кармаскалинский</w:t>
      </w:r>
      <w:r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4E6684" w:rsidRPr="00444AAE" w:rsidRDefault="004E6684" w:rsidP="004E66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5. Финансовое обеспечение реализации Программы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Финансовое обеспечение мероприятий по благоустройству общественных территорий осуществляется за счет предоставления субсидий из бюджетов Российской Федерации, Республики Башкортостан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муниципальной программы «Формирова</w:t>
      </w:r>
      <w:r>
        <w:rPr>
          <w:sz w:val="28"/>
          <w:szCs w:val="28"/>
        </w:rPr>
        <w:t>ние современной городской среды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Прибельский</w:t>
      </w:r>
      <w:proofErr w:type="spellEnd"/>
      <w:r w:rsidRP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Кармаскалинский</w:t>
      </w:r>
      <w:r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»</w:t>
      </w:r>
      <w:r w:rsidRPr="00444AAE">
        <w:rPr>
          <w:sz w:val="28"/>
          <w:szCs w:val="28"/>
        </w:rPr>
        <w:t>.</w:t>
      </w:r>
    </w:p>
    <w:p w:rsidR="004E6684" w:rsidRPr="00444AAE" w:rsidRDefault="004E6684" w:rsidP="004E66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684" w:rsidRPr="00444AAE" w:rsidRDefault="004E6684" w:rsidP="004E66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6. Порядок расходования финансовых средств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6.1. </w:t>
      </w:r>
      <w:proofErr w:type="gramStart"/>
      <w:r w:rsidRPr="00444AAE">
        <w:rPr>
          <w:sz w:val="28"/>
          <w:szCs w:val="28"/>
        </w:rPr>
        <w:t xml:space="preserve">Оплата выполненных работ по благоустройству общественных территорий по контрактам, заключенным </w:t>
      </w:r>
      <w:r>
        <w:rPr>
          <w:sz w:val="28"/>
          <w:szCs w:val="28"/>
        </w:rPr>
        <w:t>Администрацией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Прибельский</w:t>
      </w:r>
      <w:proofErr w:type="spellEnd"/>
      <w:r w:rsidRP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Кармаскалинский</w:t>
      </w:r>
      <w:r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 производится на основании актов о приемке выполненных работ (форма КС-2) и справок о стоимости выполненных работ (форма КС-3).</w:t>
      </w:r>
      <w:proofErr w:type="gramEnd"/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6.2. </w:t>
      </w:r>
      <w:proofErr w:type="gramStart"/>
      <w:r w:rsidRPr="00444AAE">
        <w:rPr>
          <w:sz w:val="28"/>
          <w:szCs w:val="28"/>
        </w:rPr>
        <w:t xml:space="preserve"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</w:t>
      </w:r>
      <w:r w:rsidRPr="00444AAE">
        <w:rPr>
          <w:sz w:val="28"/>
          <w:szCs w:val="28"/>
        </w:rPr>
        <w:lastRenderedPageBreak/>
        <w:t>детских спортивных площадок» на оборудование детской площадки дополнительно предоставляются</w:t>
      </w:r>
      <w:proofErr w:type="gramEnd"/>
      <w:r w:rsidRPr="00444AAE">
        <w:rPr>
          <w:sz w:val="28"/>
          <w:szCs w:val="28"/>
        </w:rPr>
        <w:t>: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проекта детской площадки и (или) спортивной площадки.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паспорта изготовителя детской площадки и (или) спортивной площадки.</w:t>
      </w:r>
    </w:p>
    <w:p w:rsidR="004E6684" w:rsidRPr="00444AAE" w:rsidRDefault="004E6684" w:rsidP="004E66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7. Организация контроля</w:t>
      </w:r>
    </w:p>
    <w:p w:rsidR="004E6684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7.1. Ответственность за результативность Программы и целевое использование финансовых средств на мероприятия по благоустройству общественных территорий возлагается на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Прибельский</w:t>
      </w:r>
      <w:proofErr w:type="spellEnd"/>
      <w:r w:rsidRP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Кармаскалинский</w:t>
      </w:r>
      <w:r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6684" w:rsidRPr="00C902E5" w:rsidRDefault="004E6684" w:rsidP="004E66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        </w:t>
      </w: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Н.А.Суркова</w:t>
      </w:r>
    </w:p>
    <w:p w:rsidR="004E6684" w:rsidRPr="00444AAE" w:rsidRDefault="004E6684" w:rsidP="004E6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6684" w:rsidRDefault="004E6684" w:rsidP="004E668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F7FD4" w:rsidRDefault="005F7FD4"/>
    <w:sectPr w:rsidR="005F7FD4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684"/>
    <w:rsid w:val="004E6684"/>
    <w:rsid w:val="005F7FD4"/>
    <w:rsid w:val="00D7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6684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rsid w:val="004E66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2017-09-20T06:48:00Z</dcterms:created>
  <dcterms:modified xsi:type="dcterms:W3CDTF">2017-09-20T06:49:00Z</dcterms:modified>
</cp:coreProperties>
</file>